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852"/>
      </w:tblGrid>
      <w:tr>
        <w:trPr/>
        <w:tc>
          <w:tcPr>
            <w:tcW w:w="9852" w:type="dxa"/>
            <w:tcBorders/>
          </w:tcPr>
          <w:p>
            <w:pPr>
              <w:pStyle w:val="Header"/>
              <w:spacing w:lineRule="auto" w:line="254"/>
              <w:jc w:val="center"/>
              <w:rPr>
                <w:sz w:val="16"/>
                <w:szCs w:val="16"/>
                <w:lang w:eastAsia="en-US"/>
              </w:rPr>
            </w:pPr>
            <w:r>
              <w:rPr/>
              <w:drawing>
                <wp:inline distT="0" distB="0" distL="0" distR="0">
                  <wp:extent cx="561975" cy="685800"/>
                  <wp:effectExtent l="0" t="0" r="0" b="0"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852" w:type="dxa"/>
            <w:tcBorders/>
          </w:tcPr>
          <w:p>
            <w:pPr>
              <w:pStyle w:val="Normal"/>
              <w:spacing w:lineRule="auto" w:line="254"/>
              <w:jc w:val="center"/>
              <w:rPr>
                <w:b/>
                <w:bCs/>
                <w:spacing w:val="20"/>
                <w:sz w:val="36"/>
                <w:szCs w:val="36"/>
                <w:lang w:eastAsia="en-US"/>
              </w:rPr>
            </w:pPr>
            <w:r>
              <w:rPr>
                <w:b/>
                <w:bCs/>
                <w:spacing w:val="20"/>
                <w:sz w:val="36"/>
                <w:szCs w:val="36"/>
                <w:lang w:eastAsia="en-US"/>
              </w:rPr>
              <w:t>ПРЕДСЕДАТЕЛЬ СОВЕТА ДЕПУТАТОВ</w:t>
            </w:r>
          </w:p>
          <w:p>
            <w:pPr>
              <w:pStyle w:val="Normal"/>
              <w:spacing w:lineRule="auto" w:line="254"/>
              <w:jc w:val="center"/>
              <w:rPr>
                <w:b/>
                <w:bCs/>
                <w:spacing w:val="20"/>
                <w:sz w:val="36"/>
                <w:szCs w:val="36"/>
                <w:lang w:eastAsia="en-US"/>
              </w:rPr>
            </w:pPr>
            <w:r>
              <w:rPr>
                <w:b/>
                <w:bCs/>
                <w:spacing w:val="20"/>
                <w:sz w:val="36"/>
                <w:szCs w:val="36"/>
                <w:lang w:eastAsia="en-US"/>
              </w:rPr>
              <w:t>Богородского муниципального округа</w:t>
            </w:r>
          </w:p>
          <w:p>
            <w:pPr>
              <w:pStyle w:val="Normal"/>
              <w:spacing w:lineRule="auto" w:line="254"/>
              <w:jc w:val="center"/>
              <w:rPr>
                <w:b/>
                <w:bCs/>
                <w:spacing w:val="20"/>
                <w:sz w:val="36"/>
                <w:szCs w:val="36"/>
                <w:lang w:eastAsia="en-US"/>
              </w:rPr>
            </w:pPr>
            <w:r>
              <w:rPr>
                <w:b/>
                <w:bCs/>
                <w:spacing w:val="20"/>
                <w:sz w:val="36"/>
                <w:szCs w:val="36"/>
                <w:lang w:eastAsia="en-US"/>
              </w:rPr>
              <w:t>Нижегородской области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54"/>
              <w:rPr>
                <w:sz w:val="1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9852" w:type="dxa"/>
            <w:tcBorders/>
          </w:tcPr>
          <w:p>
            <w:pPr>
              <w:pStyle w:val="Normal"/>
              <w:spacing w:lineRule="auto" w:line="25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</w:r>
          </w:p>
          <w:p>
            <w:pPr>
              <w:pStyle w:val="Normal"/>
              <w:spacing w:lineRule="auto" w:line="254"/>
              <w:jc w:val="center"/>
              <w:rPr>
                <w:b/>
                <w:spacing w:val="40"/>
                <w:sz w:val="48"/>
                <w:lang w:eastAsia="en-US"/>
              </w:rPr>
            </w:pPr>
            <w:r>
              <w:rPr>
                <w:b/>
                <w:spacing w:val="40"/>
                <w:sz w:val="48"/>
                <w:lang w:eastAsia="en-US"/>
              </w:rPr>
              <w:t>П О С Т А Н О В Л Е Н И Е</w:t>
            </w:r>
          </w:p>
          <w:p>
            <w:pPr>
              <w:pStyle w:val="Normal"/>
              <w:spacing w:lineRule="auto" w:line="254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sz w:val="16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ind w:firstLine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ind w:firstLine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ind w:firstLine="709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2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0"/>
        <w:gridCol w:w="912"/>
        <w:gridCol w:w="1650"/>
        <w:gridCol w:w="2127"/>
        <w:gridCol w:w="1561"/>
        <w:gridCol w:w="1100"/>
      </w:tblGrid>
      <w:tr>
        <w:trPr/>
        <w:tc>
          <w:tcPr>
            <w:tcW w:w="23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30 мая 2025 года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ind w:firstLine="709" w:left="-49"/>
              <w:jc w:val="right"/>
              <w:rPr/>
            </w:pPr>
            <w:r>
              <w:rPr/>
              <w:t>№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3</w:t>
            </w:r>
          </w:p>
        </w:tc>
      </w:tr>
    </w:tbl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/>
      </w:r>
    </w:p>
    <w:p>
      <w:pPr>
        <w:pStyle w:val="Normal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Об утверждении требований к отдельным видам товаров, работ, услуг, их потребительским свойствам (в том числе качеству) и иным характеристикам (в том числе предельным ценам товаров, работ, услуг) к ним, закупаемым Советом депутатов Богородского муниципального округа Нижегородской области на 2026 год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Богородского муниципального округа Нижегородской области от 20.02.2021 № 377 «Об утверждении требований к порядку разработки и принятия правовых актов о нормировании в сфере закупок для обеспечения муниципальных нужд Богородского муниципального округа Нижегородской области, содержанию указанных актов и обеспечению их исполнения и  признании утратившим силу постановления администрации Богородского муниципального района Нижегородской области», постановлением администрации Богородского муниципального округа Нижегородской области от 19.04.2021 № 1184 «Об утверждении правил определения требований к закупаемым Советом депутатов Богородского муниципального округа Нижегородской области и администрацией Богородского муниципального округа Нижегородской области (включая соответственно структурные подразделения администрации Богородского муниципального округа Нижегородской области, территориальные органы и подведомственные указанным органам казенные учреждения, бюджетные учреждения и муниципальные унитарные предприятия) отдельным видам товаров, работ, услуг (в том числе предельных цен товаров, работ, услуг)»,</w:t>
      </w:r>
    </w:p>
    <w:p>
      <w:pPr>
        <w:pStyle w:val="Normal"/>
        <w:ind w:firstLine="709"/>
        <w:jc w:val="both"/>
        <w:rPr/>
      </w:pPr>
      <w:r>
        <w:rPr>
          <w:b/>
          <w:szCs w:val="28"/>
        </w:rPr>
        <w:t>п о с т а н о в л я 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firstLine="709" w:left="0"/>
        <w:jc w:val="both"/>
        <w:rPr/>
      </w:pPr>
      <w:r>
        <w:rPr>
          <w:szCs w:val="28"/>
        </w:rPr>
        <w:t>Утвердить требования к отдельным видам товаров, работ, услуг, их потребительским свойствам (в том числе качеству) и иным характеристикам (в том числе предельным ценам товаров, работ, услуг) к ним, закупаемым Советом депутатов Богородского муниципального округа Нижегородской области (далее – Ведомственный перечень):</w:t>
      </w:r>
    </w:p>
    <w:p>
      <w:pPr>
        <w:pStyle w:val="Normal"/>
        <w:ind w:firstLine="709"/>
        <w:jc w:val="both"/>
        <w:rPr/>
      </w:pPr>
      <w:r>
        <w:rPr>
          <w:szCs w:val="28"/>
        </w:rPr>
        <w:t>-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Совета депутатов Богородского муниципального округа Нижегородской области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>
          <w:szCs w:val="28"/>
        </w:rPr>
        <w:t>Ведомственный перечень Совета депутатов Богородского муниципального округа Нижегородской области при планировании проекта бюджета на 2025 год и последующие годы.</w:t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>
          <w:szCs w:val="28"/>
        </w:rPr>
        <w:t>Совету депутатов Богородского муниципального округа Нижегородской области использовать Ведомственный перечень при осуществлении закупок товаров, работ, услуг.</w:t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>
          <w:szCs w:val="28"/>
        </w:rPr>
        <w:t>Обеспечить размещение настоящего постановления на официальном сайте Единой информационной системы в сфере закупок zakupki.gov.ru.</w:t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>
          <w:szCs w:val="28"/>
        </w:rPr>
        <w:t>Обнародовать настоящее постановление в установленном порядке.</w:t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>
          <w:szCs w:val="28"/>
        </w:rPr>
        <w:t>Контроль за исполнением настоящего постановления возложить на руководителя контрактной службы Совета депутатов Богородского муниципального округа Нижегородской области.</w:t>
      </w:r>
    </w:p>
    <w:p>
      <w:pPr>
        <w:pStyle w:val="Normal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  <w:t xml:space="preserve">     </w:t>
      </w:r>
    </w:p>
    <w:p>
      <w:pPr>
        <w:pStyle w:val="Normal"/>
        <w:jc w:val="both"/>
        <w:rPr/>
      </w:pPr>
      <w:r>
        <w:rPr/>
        <w:t>Председатель Совета депутатов</w:t>
        <w:tab/>
        <w:tab/>
        <w:tab/>
        <w:tab/>
        <w:tab/>
        <w:t xml:space="preserve">     И.В.Санатова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 w:val="24"/>
          <w:szCs w:val="24"/>
          <w:lang w:eastAsia="zh-CN"/>
        </w:rPr>
        <w:t>Овсянникова Наталья Алексеевна</w:t>
      </w:r>
    </w:p>
    <w:p>
      <w:pPr>
        <w:sectPr>
          <w:type w:val="nextPage"/>
          <w:pgSz w:w="11906" w:h="16838"/>
          <w:pgMar w:left="1418" w:right="851" w:gutter="0" w:header="0" w:top="851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>
          <w:sz w:val="24"/>
          <w:szCs w:val="24"/>
          <w:lang w:eastAsia="zh-CN"/>
        </w:rPr>
        <w:t>2-16-39</w:t>
      </w:r>
    </w:p>
    <w:p>
      <w:pPr>
        <w:pStyle w:val="Normal"/>
        <w:ind w:left="10065"/>
        <w:jc w:val="center"/>
        <w:rPr/>
      </w:pPr>
      <w:r>
        <w:rPr>
          <w:szCs w:val="28"/>
        </w:rPr>
        <w:t>Прилож</w:t>
      </w:r>
      <w:bookmarkStart w:id="0" w:name="_GoBack"/>
      <w:bookmarkEnd w:id="0"/>
      <w:r>
        <w:rPr>
          <w:szCs w:val="28"/>
        </w:rPr>
        <w:t xml:space="preserve">ение </w:t>
      </w:r>
    </w:p>
    <w:p>
      <w:pPr>
        <w:pStyle w:val="Normal"/>
        <w:ind w:left="10065"/>
        <w:jc w:val="center"/>
        <w:rPr>
          <w:szCs w:val="28"/>
        </w:rPr>
      </w:pPr>
      <w:r>
        <w:rPr>
          <w:szCs w:val="28"/>
        </w:rPr>
        <w:t>УТВЕРЖДЕН</w:t>
      </w:r>
    </w:p>
    <w:p>
      <w:pPr>
        <w:pStyle w:val="Normal"/>
        <w:ind w:left="1006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10065"/>
        <w:jc w:val="center"/>
        <w:rPr>
          <w:szCs w:val="28"/>
        </w:rPr>
      </w:pPr>
      <w:r>
        <w:rPr>
          <w:szCs w:val="28"/>
        </w:rPr>
        <w:t>постановлением председателя</w:t>
      </w:r>
    </w:p>
    <w:p>
      <w:pPr>
        <w:pStyle w:val="Normal"/>
        <w:ind w:left="10065"/>
        <w:jc w:val="center"/>
        <w:rPr/>
      </w:pPr>
      <w:r>
        <w:rPr>
          <w:szCs w:val="28"/>
        </w:rPr>
        <w:t>Совета депутатов</w:t>
      </w:r>
    </w:p>
    <w:p>
      <w:pPr>
        <w:pStyle w:val="Normal"/>
        <w:ind w:left="10065"/>
        <w:jc w:val="center"/>
        <w:rPr/>
      </w:pPr>
      <w:r>
        <w:rPr>
          <w:szCs w:val="28"/>
        </w:rPr>
        <w:t xml:space="preserve">Богородского муниципального </w:t>
      </w:r>
    </w:p>
    <w:p>
      <w:pPr>
        <w:pStyle w:val="Normal"/>
        <w:ind w:left="10065"/>
        <w:jc w:val="center"/>
        <w:rPr/>
      </w:pPr>
      <w:r>
        <w:rPr>
          <w:szCs w:val="28"/>
        </w:rPr>
        <w:t>округа Нижегородской области</w:t>
      </w:r>
    </w:p>
    <w:p>
      <w:pPr>
        <w:pStyle w:val="Normal"/>
        <w:ind w:left="10065"/>
        <w:jc w:val="center"/>
        <w:rPr/>
      </w:pPr>
      <w:r>
        <w:rPr>
          <w:szCs w:val="28"/>
        </w:rPr>
        <w:t xml:space="preserve">от </w:t>
      </w:r>
      <w:r>
        <w:rPr>
          <w:szCs w:val="28"/>
        </w:rPr>
        <w:t>30 мая 2025 года</w:t>
      </w:r>
      <w:r>
        <w:rPr>
          <w:szCs w:val="28"/>
        </w:rPr>
        <w:t xml:space="preserve"> № </w:t>
      </w:r>
      <w:r>
        <w:rPr>
          <w:szCs w:val="28"/>
        </w:rPr>
        <w:t>3</w:t>
      </w:r>
    </w:p>
    <w:p>
      <w:pPr>
        <w:pStyle w:val="Normal"/>
        <w:ind w:left="522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522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center"/>
        <w:rPr>
          <w:b/>
          <w:szCs w:val="28"/>
        </w:rPr>
      </w:pPr>
      <w:bookmarkStart w:id="1" w:name="P39"/>
      <w:bookmarkEnd w:id="1"/>
      <w:r>
        <w:rPr>
          <w:b/>
          <w:szCs w:val="28"/>
        </w:rPr>
        <w:t>ПЕРЕЧЕНЬ</w:t>
      </w:r>
    </w:p>
    <w:p>
      <w:pPr>
        <w:pStyle w:val="Normal"/>
        <w:ind w:firstLine="540"/>
        <w:jc w:val="center"/>
        <w:rPr>
          <w:b/>
          <w:szCs w:val="28"/>
        </w:rPr>
      </w:pPr>
      <w:r>
        <w:rPr>
          <w:b/>
          <w:szCs w:val="28"/>
        </w:rPr>
        <w:t>отдельных видов товаров, работ, услуг, их потребительские свойства</w:t>
      </w:r>
    </w:p>
    <w:p>
      <w:pPr>
        <w:pStyle w:val="Normal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(в том числе качество) и иные характеристики (в том числе предельные цены товаров, работ, услуг) к ним </w:t>
      </w:r>
    </w:p>
    <w:p>
      <w:pPr>
        <w:pStyle w:val="Normal"/>
        <w:ind w:firstLine="540"/>
        <w:jc w:val="center"/>
        <w:rPr>
          <w:u w:val="single"/>
        </w:rPr>
      </w:pPr>
      <w:r>
        <w:rPr>
          <w:b/>
          <w:szCs w:val="28"/>
          <w:u w:val="single"/>
        </w:rPr>
        <w:t>Совета депутатов Богородского муниципального округа Нижегородской области на 2025 год</w:t>
      </w:r>
    </w:p>
    <w:p>
      <w:pPr>
        <w:pStyle w:val="Normal"/>
        <w:ind w:firstLine="540"/>
        <w:jc w:val="center"/>
        <w:rPr/>
      </w:pPr>
      <w:r>
        <w:rPr>
          <w:b/>
          <w:szCs w:val="28"/>
        </w:rPr>
        <w:t>(наименование муниципального орг</w:t>
      </w:r>
      <w:r>
        <w:rPr>
          <w:b/>
          <w:bCs/>
          <w:szCs w:val="28"/>
        </w:rPr>
        <w:t>а</w:t>
      </w:r>
      <w:r>
        <w:rPr>
          <w:b/>
          <w:bCs/>
        </w:rPr>
        <w:t>на)</w:t>
      </w:r>
    </w:p>
    <w:tbl>
      <w:tblPr>
        <w:tblW w:w="15558" w:type="dxa"/>
        <w:jc w:val="left"/>
        <w:tblInd w:w="-289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26"/>
        <w:gridCol w:w="825"/>
        <w:gridCol w:w="2229"/>
        <w:gridCol w:w="669"/>
        <w:gridCol w:w="1337"/>
        <w:gridCol w:w="2217"/>
        <w:gridCol w:w="1636"/>
        <w:gridCol w:w="14"/>
        <w:gridCol w:w="1555"/>
        <w:gridCol w:w="1636"/>
        <w:gridCol w:w="1556"/>
        <w:gridCol w:w="1556"/>
      </w:tblGrid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 п/п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Код по ОКПД2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Требования к потребительским свойствам (в том числе качеству) и иным характеристикам, утвержденные Советом депутатов Богородского муниципального округа</w:t>
            </w:r>
          </w:p>
        </w:tc>
        <w:tc>
          <w:tcPr>
            <w:tcW w:w="6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ConsPlusNormal"/>
              <w:ind w:right="155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код по ОКЕИ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наименование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характеристика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значение характеристики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характеристика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значение характеристики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обоснование отклонения значения характеристики от утвержденной администрацией Богородского муниципального округа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функциональное назначение &lt;*&gt;</w:t>
            </w:r>
          </w:p>
        </w:tc>
      </w:tr>
      <w:tr>
        <w:trPr/>
        <w:tc>
          <w:tcPr>
            <w:tcW w:w="155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2 к Правилам определения требований к закупаемым Советом депутатов Богородского муниципального округа Нижегородской области и администрацией Богородского муниципального округа Нижегородской области (включая соответственно структурные подразделения администрации Богородского муниципального округа Нижегородской области, </w:t>
            </w:r>
            <w:r>
              <w:rPr>
                <w:rFonts w:eastAsia="Calibri" w:cs="Times New Roman" w:ascii="Times New Roman" w:hAnsi="Times New Roman"/>
                <w:sz w:val="20"/>
              </w:rPr>
              <w:t>территориальные органы</w:t>
            </w:r>
            <w:r>
              <w:rPr>
                <w:rFonts w:cs="Times New Roman" w:ascii="Times New Roman" w:hAnsi="Times New Roman"/>
                <w:sz w:val="20"/>
              </w:rPr>
              <w:t xml:space="preserve"> и подведомственные указанным органам  казенные, бюджетные учреждения и муниципальные унитарные предприятия) отдельным видам товаров, работ, услуг (в том числе предельных цен товаров, работ, услуг), утвержденным постановлением администрации Богородского муниципального округа от ___ ___________ 201_ года N ___</w:t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</w:t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26.20.11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размер и тип экрана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размер и тип экрана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вес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вес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процессора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процессора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частота процессора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частота процессора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размер оперативной памяти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размер оперативной памяти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объем накопителя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объем накопителя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жесткого диска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жесткого диска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оптический привод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оптический привод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наличие модулей Wi-Fi, Bluetooth, поддержки 3G (UMTS)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наличие модулей Wi-Fi, Bluetooth, поддержки 3G (UMTS)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видеоадаптера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видеоадаптера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время работы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время работы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 на ноутбук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 на ноутбук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 на планшетный компьютер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 на планшетный компьютер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26.30.11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устройства (телефон/смартфон)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устройства (телефон/смартфон)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поддерживаемые стандарты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поддерживаемые стандарты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операционная система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время работы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время работы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метод управления (сенсорный/кнопочный)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метод управления (сенсорный/кнопочный)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количество SIM-карт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количество SIM-карт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наличие модулей и интерфейсов (Wi-Fi, Bluetooth, USB, GPS)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наличие модулей и интерфейсов (Wi-Fi, Bluetooth, USB, GPS)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383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рубль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29.10.21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rFonts w:cs="Times New Roman" w:ascii="Times New Roman" w:hAnsi="Times New Roman"/>
                <w:sz w:val="20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0"/>
              </w:rPr>
              <w:t>, новые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лошадиная сила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383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рубль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29.10.22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rFonts w:cs="Times New Roman" w:ascii="Times New Roman" w:hAnsi="Times New Roman"/>
                <w:sz w:val="20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0"/>
              </w:rPr>
              <w:t>, новые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лошадиная сила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383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рубль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29.10.23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лошадиная сила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383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рубль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29.10.24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автотранспортные для перевозки людей прочие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лошадиная сила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383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рубль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31.01.11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материал (металл)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материал (металл)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обивочные материалы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обивочные материалы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8.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31.01.12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материал (вид древесины)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материал (вид древесины)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обивочные материалы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обивочные материалы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9.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49.32.11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Услуги такси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лошадиная сила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коробки передач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коробки передач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время предоставления автомобиля потребителю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время предоставления автомобиля потребителю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49.32.12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лошадиная сила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коробки передач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коробки передач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время предоставления автомобиля потребителю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время предоставления автомобиля потребителю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11.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61.20.11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Услуги подвижной связи общего пользования - обеспечение доступа и поддержка пользователя.</w:t>
            </w:r>
          </w:p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тарификация услуги голосовой связи, доступа в информационно-телекоммуникационную сеть "Интернет"  (лимитная/ безлимитная)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тарификация услуги голосовой связи, доступа в информационно-телекоммуникационную сеть "Интернет" (лимитная/ безлимитная)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12.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61.20.30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Услуги по передаче данных по беспроводным телекоммуникационным сетям.</w:t>
            </w:r>
          </w:p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Пояснения по требуемой услуге: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услуга связи для ноутбуков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услуга связи для планшетных компьютеров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13.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61.20.42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Пояснения по требуемой услуге: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услуга связи для ноутбуков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услуга связи для планшетных компьютеров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14.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77.11.10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лошадиная сила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коробки передач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коробки передач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мощность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коробки передач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тип коробки передач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комплектация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предельная цена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ind w:firstLine="540"/>
        <w:jc w:val="center"/>
        <w:rPr/>
      </w:pPr>
      <w:r>
        <w:rPr>
          <w:b/>
          <w:sz w:val="20"/>
        </w:rPr>
        <w:t>_________________________</w:t>
      </w:r>
    </w:p>
    <w:sectPr>
      <w:headerReference w:type="default" r:id="rId3"/>
      <w:footerReference w:type="default" r:id="rId4"/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31750" cy="173355"/>
              <wp:effectExtent l="0" t="0" r="0" b="0"/>
              <wp:wrapSquare wrapText="largest"/>
              <wp:docPr id="3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8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6480" rIns="6480" tIns="6480" bIns="64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fillcolor="white" stroked="f" o:allowincell="f" style="position:absolute;margin-left:785.2pt;margin-top:0.05pt;width:2.45pt;height:13.6pt;mso-wrap-style:none;v-text-anchor:middle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2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6480" rIns="6480" tIns="6480" bIns="64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stroked="f" o:allowincell="f" style="position:absolute;margin-left:361.3pt;margin-top:0.05pt;width:5.85pt;height:13.6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bidi="ar-SA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WW8Num2z0" w:customStyle="1">
    <w:name w:val="WW8Num2z0"/>
    <w:qFormat/>
    <w:rPr>
      <w:rFonts w:eastAsia="Arial"/>
      <w:sz w:val="28"/>
      <w:szCs w:val="28"/>
    </w:rPr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756ed"/>
    <w:rPr>
      <w:rFonts w:ascii="Segoe UI" w:hAnsi="Segoe UI" w:eastAsia="Times New Roman" w:cs="Segoe UI"/>
      <w:sz w:val="18"/>
      <w:szCs w:val="18"/>
      <w:lang w:eastAsia="ru-RU" w:bidi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bidi="ar-SA" w:val="ru-RU" w:eastAsia="zh-CN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Style21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756e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LibreOffice/7.6.0.3$Windows_X86_64 LibreOffice_project/69edd8b8ebc41d00b4de3915dc82f8f0fc3b6265</Application>
  <AppVersion>15.0000</AppVersion>
  <Pages>11</Pages>
  <Words>1455</Words>
  <Characters>10829</Characters>
  <CharactersWithSpaces>12029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2019-12-30T11:14:00Z</dcterms:created>
  <dc:creator>Пользователь</dc:creator>
  <dc:description/>
  <dc:language>ru-RU</dc:language>
  <cp:lastModifiedBy/>
  <cp:lastPrinted>2025-05-15T12:38:00Z</cp:lastPrinted>
  <dcterms:modified xsi:type="dcterms:W3CDTF">2025-05-30T13:44:54Z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KSOProductBuildVer">
    <vt:lpwstr>1049-11.2.0.10132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